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00"/>
      </w:pPr>
    </w:p>
    <w:p>
      <w:pPr>
        <w:spacing w:before="0" w:after="10"/>
        <w:jc w:val="center"/>
      </w:pPr>
      <w:r>
        <w:rPr>
          <w:rFonts w:ascii="Garamond" w:cs="Garamond" w:eastAsia="Garamond" w:hAnsi="Garamond"/>
          <w:b/>
          <w:bCs/>
          <w:i w:val="false"/>
          <w:iCs w:val="false"/>
          <w:color w:val="1A1A2E"/>
          <w:sz w:val="52"/>
          <w:szCs w:val="52"/>
        </w:rPr>
        <w:t xml:space="preserve">OWN EVERYTHING.</w:t>
      </w:r>
    </w:p>
    <w:p>
      <w:pPr>
        <w:spacing w:before="0" w:after="40"/>
        <w:jc w:val="center"/>
      </w:pPr>
      <w:r>
        <w:rPr>
          <w:rFonts w:ascii="Garamond" w:cs="Garamond" w:eastAsia="Garamond" w:hAnsi="Garamond"/>
          <w:b/>
          <w:bCs/>
          <w:i w:val="false"/>
          <w:iCs w:val="false"/>
          <w:color w:val="C49A3C"/>
          <w:sz w:val="52"/>
          <w:szCs w:val="52"/>
        </w:rPr>
        <w:t xml:space="preserve">OWE NOTHING.</w:t>
      </w:r>
    </w:p>
    <w:p>
      <w:pPr>
        <w:pBdr>
          <w:top w:val="single" w:color="C49A3C" w:sz="2" w:space="12"/>
          <w:bottom w:val="single" w:color="C49A3C" w:sz="2" w:space="12"/>
        </w:pBdr>
        <w:spacing w:after="40"/>
        <w:jc w:val="center"/>
      </w:pPr>
      <w:r>
        <w:rPr>
          <w:rFonts w:ascii="Garamond" w:cs="Garamond" w:eastAsia="Garamond" w:hAnsi="Garamond"/>
          <w:i/>
          <w:iCs/>
          <w:color w:val="1A1A2E"/>
          <w:sz w:val="22"/>
          <w:szCs w:val="22"/>
        </w:rPr>
        <w:t xml:space="preserve">The 10 Steps to Tax-Free Wealth Through Real Estate</w:t>
      </w:r>
    </w:p>
    <w:p>
      <w:pPr>
        <w:spacing w:before="300"/>
      </w:pPr>
    </w:p>
    <w:p>
      <w:pPr>
        <w:spacing w:before="0" w:after="10"/>
        <w:jc w:val="center"/>
      </w:pPr>
      <w:r>
        <w:rPr>
          <w:rFonts w:ascii="Garamond" w:cs="Garamond" w:eastAsia="Garamond" w:hAnsi="Garamond"/>
          <w:b/>
          <w:bCs/>
          <w:i w:val="false"/>
          <w:iCs w:val="false"/>
          <w:color w:val="1A1A2E"/>
          <w:sz w:val="26"/>
          <w:szCs w:val="26"/>
        </w:rPr>
        <w:t xml:space="preserve">YEMANI MASON</w:t>
      </w:r>
    </w:p>
    <w:p>
      <w:pPr>
        <w:spacing w:before="0" w:after="0"/>
        <w:jc w:val="center"/>
      </w:pPr>
      <w:r>
        <w:rPr>
          <w:rFonts w:ascii="Garamond" w:cs="Garamond" w:eastAsia="Garamond" w:hAnsi="Garamond"/>
          <w:b w:val="false"/>
          <w:bCs w:val="false"/>
          <w:i w:val="false"/>
          <w:iCs w:val="false"/>
          <w:color w:val="6B7280"/>
          <w:sz w:val="18"/>
          <w:szCs w:val="18"/>
        </w:rPr>
        <w:t xml:space="preserve">CEO &amp; Lender, Secure The Funding</w:t>
      </w:r>
    </w:p>
    <w:p>
      <w:r>
        <w:br w:type="page"/>
      </w:r>
    </w:p>
    <w:p>
      <w:pPr>
        <w:spacing w:before="600"/>
      </w:pPr>
    </w:p>
    <w:p>
      <w:pPr>
        <w:spacing w:before="0" w:after="10"/>
        <w:jc w:val="center"/>
      </w:pPr>
      <w:r>
        <w:rPr>
          <w:rFonts w:ascii="Garamond" w:cs="Garamond" w:eastAsia="Garamond" w:hAnsi="Garamond"/>
          <w:b w:val="false"/>
          <w:bCs w:val="false"/>
          <w:i/>
          <w:iCs/>
          <w:color w:val="1A1A2E"/>
          <w:sz w:val="22"/>
          <w:szCs w:val="22"/>
        </w:rPr>
        <w:t xml:space="preserve">For the families who were taught to own a home</w:t>
      </w:r>
    </w:p>
    <w:p>
      <w:pPr>
        <w:spacing w:before="0" w:after="200"/>
        <w:jc w:val="center"/>
      </w:pPr>
      <w:r>
        <w:rPr>
          <w:rFonts w:ascii="Garamond" w:cs="Garamond" w:eastAsia="Garamond" w:hAnsi="Garamond"/>
          <w:b w:val="false"/>
          <w:bCs w:val="false"/>
          <w:i/>
          <w:iCs/>
          <w:color w:val="1A1A2E"/>
          <w:sz w:val="22"/>
          <w:szCs w:val="22"/>
        </w:rPr>
        <w:t xml:space="preserve">but never taught what to do after.</w:t>
      </w:r>
    </w:p>
    <w:p>
      <w:pPr>
        <w:spacing w:before="120" w:after="120"/>
        <w:jc w:val="center"/>
      </w:pPr>
      <w:r>
        <w:rPr>
          <w:rFonts w:ascii="Garamond" w:cs="Garamond" w:eastAsia="Garamond" w:hAnsi="Garamond"/>
          <w:color w:val="C49A3C"/>
          <w:sz w:val="14"/>
          <w:szCs w:val="14"/>
        </w:rPr>
        <w:t xml:space="preserve">◆   ◆   ◆</w:t>
      </w:r>
    </w:p>
    <w:p>
      <w:pPr>
        <w:spacing w:before="0" w:after="10"/>
        <w:jc w:val="center"/>
      </w:pPr>
      <w:r>
        <w:rPr>
          <w:rFonts w:ascii="Garamond" w:cs="Garamond" w:eastAsia="Garamond" w:hAnsi="Garamond"/>
          <w:b w:val="false"/>
          <w:bCs w:val="false"/>
          <w:i/>
          <w:iCs/>
          <w:color w:val="6B7280"/>
          <w:sz w:val="18"/>
          <w:szCs w:val="18"/>
        </w:rPr>
        <w:t xml:space="preserve">And for Miami — where the problem is most severe</w:t>
      </w:r>
    </w:p>
    <w:p>
      <w:pPr>
        <w:spacing w:before="0" w:after="0"/>
        <w:jc w:val="center"/>
      </w:pPr>
      <w:r>
        <w:rPr>
          <w:rFonts w:ascii="Garamond" w:cs="Garamond" w:eastAsia="Garamond" w:hAnsi="Garamond"/>
          <w:b w:val="false"/>
          <w:bCs w:val="false"/>
          <w:i/>
          <w:iCs/>
          <w:color w:val="6B7280"/>
          <w:sz w:val="18"/>
          <w:szCs w:val="18"/>
        </w:rPr>
        <w:t xml:space="preserve">and the proof is being built.</w:t>
      </w:r>
    </w:p>
    <w:p>
      <w:r>
        <w:br w:type="page"/>
      </w:r>
    </w:p>
    <w:p>
      <w:pPr>
        <w:spacing w:before="600" w:after="10"/>
        <w:jc w:val="center"/>
      </w:pPr>
      <w:r>
        <w:rPr>
          <w:rFonts w:ascii="Garamond" w:cs="Garamond" w:eastAsia="Garamond" w:hAnsi="Garamond"/>
          <w:i/>
          <w:iCs/>
          <w:color w:val="6B7280"/>
          <w:sz w:val="18"/>
          <w:szCs w:val="18"/>
        </w:rPr>
        <w:t xml:space="preserve">Chapter </w:t>
      </w:r>
    </w:p>
    <w:p>
      <w:pPr>
        <w:spacing w:after="40"/>
        <w:jc w:val="center"/>
      </w:pPr>
      <w:r>
        <w:rPr>
          <w:rFonts w:ascii="Garamond" w:cs="Garamond" w:eastAsia="Garamond" w:hAnsi="Garamond"/>
          <w:b/>
          <w:bCs/>
          <w:color w:val="1A1A2E"/>
          <w:sz w:val="30"/>
          <w:szCs w:val="30"/>
        </w:rPr>
        <w:t xml:space="preserve">Introduction: The Half-Blueprint Problem</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You were given half a blueprint.</w:t>
      </w:r>
    </w:p>
    <w:p>
      <w:pPr>
        <w:spacing w:after="120"/>
        <w:ind w:firstLine="480"/>
      </w:pPr>
      <w:r>
        <w:rPr>
          <w:rFonts w:ascii="Garamond" w:cs="Garamond" w:eastAsia="Garamond" w:hAnsi="Garamond"/>
          <w:b w:val="false"/>
          <w:bCs w:val="false"/>
          <w:i w:val="false"/>
          <w:iCs w:val="false"/>
          <w:color w:val="1A1A2E"/>
          <w:sz w:val="24"/>
          <w:szCs w:val="24"/>
        </w:rPr>
        <w:t xml:space="preserve">Your parents told you to buy a home. Your pastor told you to buy a home. Your coworkers, your friends, your culture — everyone said the same thing: homeownership is the finish line. Get the keys. Frame the closing photo. You made it.</w:t>
      </w:r>
    </w:p>
    <w:p>
      <w:pPr>
        <w:spacing w:after="120"/>
        <w:ind w:firstLine="480"/>
      </w:pPr>
      <w:r>
        <w:rPr>
          <w:rFonts w:ascii="Garamond" w:cs="Garamond" w:eastAsia="Garamond" w:hAnsi="Garamond"/>
          <w:b w:val="false"/>
          <w:bCs w:val="false"/>
          <w:i w:val="false"/>
          <w:iCs w:val="false"/>
          <w:color w:val="1A1A2E"/>
          <w:sz w:val="24"/>
          <w:szCs w:val="24"/>
        </w:rPr>
        <w:t xml:space="preserve">They were right about owning. They were wrong about it being the finish line. Homeownership is not the destination. It is the starting line. And the distance between the starting line and generational wealth is a second half of the blueprint that was never handed to your family.</w:t>
      </w:r>
    </w:p>
    <w:p>
      <w:pPr>
        <w:spacing w:after="120"/>
        <w:ind w:firstLine="480"/>
      </w:pPr>
      <w:r>
        <w:rPr>
          <w:rFonts w:ascii="Garamond" w:cs="Garamond" w:eastAsia="Garamond" w:hAnsi="Garamond"/>
          <w:b w:val="false"/>
          <w:bCs w:val="false"/>
          <w:i w:val="false"/>
          <w:iCs w:val="false"/>
          <w:color w:val="1A1A2E"/>
          <w:sz w:val="24"/>
          <w:szCs w:val="24"/>
        </w:rPr>
        <w:t xml:space="preserve">That second half includes tools that have existed for decades: Home Equity Lines of Credit that let you access your equity without selling. DSCR loans that let you buy investment property without showing a W-2. Depreciation schedules that create tax deductions from property you already own. Cost segregation studies that accelerate those deductions from $9,000 a year to $67,000 in year one. W-4 adjustments that put the savings in your paycheck immediately — not as an April refund.</w:t>
      </w:r>
    </w:p>
    <w:p>
      <w:pPr>
        <w:spacing w:after="120"/>
        <w:ind w:firstLine="480"/>
      </w:pPr>
      <w:r>
        <w:rPr>
          <w:rFonts w:ascii="Garamond" w:cs="Garamond" w:eastAsia="Garamond" w:hAnsi="Garamond"/>
          <w:b/>
          <w:bCs/>
          <w:i w:val="false"/>
          <w:iCs w:val="false"/>
          <w:color w:val="1A1A2E"/>
          <w:sz w:val="24"/>
          <w:szCs w:val="24"/>
        </w:rPr>
        <w:t xml:space="preserve">These tools were always available. They were never handed to your community. That is the half-blueprint problem.</w:t>
      </w:r>
    </w:p>
    <w:p>
      <w:pPr>
        <w:spacing w:after="120"/>
        <w:ind w:firstLine="480"/>
      </w:pPr>
      <w:r>
        <w:rPr>
          <w:rFonts w:ascii="Garamond" w:cs="Garamond" w:eastAsia="Garamond" w:hAnsi="Garamond"/>
          <w:b/>
          <w:bCs/>
          <w:i w:val="false"/>
          <w:iCs w:val="false"/>
          <w:color w:val="1A1A2E"/>
          <w:sz w:val="24"/>
          <w:szCs w:val="24"/>
        </w:rPr>
        <w:t xml:space="preserve">I know because I lived it. My parents — my Jamaican father, my African American mother — both owned homes at different points in their lives. They bought for shelter. For stability. For the pride of saying “this is ours.” And neither of them built wealth from it. Because ownership without strategy is shelter with a mortgage.</w:t>
      </w:r>
    </w:p>
    <w:p>
      <w:pPr>
        <w:spacing w:before="120" w:after="120"/>
        <w:jc w:val="center"/>
      </w:pPr>
      <w:r>
        <w:rPr>
          <w:rFonts w:ascii="Garamond" w:cs="Garamond" w:eastAsia="Garamond" w:hAnsi="Garamond"/>
          <w:color w:val="C49A3C"/>
          <w:sz w:val="14"/>
          <w:szCs w:val="14"/>
        </w:rPr>
        <w:t xml:space="preserve">◆   ◆   ◆</w:t>
      </w:r>
    </w:p>
    <w:p>
      <w:pPr>
        <w:spacing w:after="120"/>
        <w:ind w:firstLine="480"/>
      </w:pPr>
      <w:r>
        <w:rPr>
          <w:rFonts w:ascii="Garamond" w:cs="Garamond" w:eastAsia="Garamond" w:hAnsi="Garamond"/>
          <w:b w:val="false"/>
          <w:bCs w:val="false"/>
          <w:i w:val="false"/>
          <w:iCs w:val="false"/>
          <w:color w:val="1A1A2E"/>
          <w:sz w:val="24"/>
          <w:szCs w:val="24"/>
        </w:rPr>
        <w:t xml:space="preserve">This book is the second half of the blueprint. In ten chapters, I walk you through the exact system I built to solve this problem — a system called the Wealth Engine. Each chapter covers one of the ten steps, from calculating your accessible equity to eliminating your tax bill to reinvesting and repeating the cycle.</w:t>
      </w:r>
    </w:p>
    <w:p>
      <w:pPr>
        <w:spacing w:after="120"/>
        <w:ind w:firstLine="480"/>
      </w:pPr>
      <w:r>
        <w:rPr>
          <w:rFonts w:ascii="Garamond" w:cs="Garamond" w:eastAsia="Garamond" w:hAnsi="Garamond"/>
          <w:b w:val="false"/>
          <w:bCs w:val="false"/>
          <w:i w:val="false"/>
          <w:iCs w:val="false"/>
          <w:color w:val="1A1A2E"/>
          <w:sz w:val="24"/>
          <w:szCs w:val="24"/>
        </w:rPr>
        <w:t xml:space="preserve">I launched the Wealth Engine in Miami first — because Miami is where the problem is most severe. Miami-Dade County is the most Hispanic county in America. The median Black household here has $11 in liquid savings. Eleven dollars. Home values have risen 291% in fifteen years. Homeowners are sitting on hundreds of thousands of dollars in equity that nobody ever told them to deploy.</w:t>
      </w:r>
    </w:p>
    <w:p>
      <w:pPr>
        <w:spacing w:after="120"/>
        <w:ind w:firstLine="480"/>
      </w:pPr>
      <w:r>
        <w:rPr>
          <w:rFonts w:ascii="Garamond" w:cs="Garamond" w:eastAsia="Garamond" w:hAnsi="Garamond"/>
          <w:b w:val="false"/>
          <w:bCs w:val="false"/>
          <w:i w:val="false"/>
          <w:iCs w:val="false"/>
          <w:color w:val="1A1A2E"/>
          <w:sz w:val="24"/>
          <w:szCs w:val="24"/>
        </w:rPr>
        <w:t xml:space="preserve">But this book is not just for Miami. The half-blueprint problem exists in every city in America where families were taught to own but never taught to build. If you own a home anywhere in this country and you are paying more in taxes than you need to — this book is for you.</w:t>
      </w:r>
    </w:p>
    <w:p>
      <w:pPr>
        <w:spacing w:after="120"/>
        <w:ind w:firstLine="480"/>
      </w:pPr>
      <w:r>
        <w:rPr>
          <w:rFonts w:ascii="Garamond" w:cs="Garamond" w:eastAsia="Garamond" w:hAnsi="Garamond"/>
          <w:b/>
          <w:bCs/>
          <w:i w:val="false"/>
          <w:iCs w:val="false"/>
          <w:color w:val="1A1A2E"/>
          <w:sz w:val="24"/>
          <w:szCs w:val="24"/>
        </w:rPr>
        <w:t xml:space="preserve">By the end of these ten chapters, you will understand every tool available to you. You will see the math. And you will have a decision to make: continue doing what you’ve been doing, or pick up the second half of the blueprint and build.</w:t>
      </w:r>
    </w:p>
    <w:p>
      <w:r>
        <w:br w:type="page"/>
      </w:r>
    </w:p>
    <w:p>
      <w:pPr>
        <w:spacing w:before="600" w:after="10"/>
        <w:jc w:val="center"/>
      </w:pPr>
      <w:r>
        <w:rPr>
          <w:rFonts w:ascii="Garamond" w:cs="Garamond" w:eastAsia="Garamond" w:hAnsi="Garamond"/>
          <w:i/>
          <w:iCs/>
          <w:color w:val="6B7280"/>
          <w:sz w:val="18"/>
          <w:szCs w:val="18"/>
        </w:rPr>
        <w:t xml:space="preserve">Chapter 1</w:t>
      </w:r>
    </w:p>
    <w:p>
      <w:pPr>
        <w:spacing w:after="40"/>
        <w:jc w:val="center"/>
      </w:pPr>
      <w:r>
        <w:rPr>
          <w:rFonts w:ascii="Garamond" w:cs="Garamond" w:eastAsia="Garamond" w:hAnsi="Garamond"/>
          <w:b/>
          <w:bCs/>
          <w:color w:val="1A1A2E"/>
          <w:sz w:val="30"/>
          <w:szCs w:val="30"/>
        </w:rPr>
        <w:t xml:space="preserve">Know Your Equity</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Everything begins with a number most homeowners don’t know: their accessible equity.</w:t>
      </w:r>
    </w:p>
    <w:p>
      <w:pPr>
        <w:spacing w:after="120"/>
        <w:ind w:firstLine="480"/>
      </w:pPr>
      <w:r>
        <w:rPr>
          <w:rFonts w:ascii="Garamond" w:cs="Garamond" w:eastAsia="Garamond" w:hAnsi="Garamond"/>
          <w:b w:val="false"/>
          <w:bCs w:val="false"/>
          <w:i w:val="false"/>
          <w:iCs w:val="false"/>
          <w:color w:val="1A1A2E"/>
          <w:sz w:val="24"/>
          <w:szCs w:val="24"/>
        </w:rPr>
        <w:t xml:space="preserve">Equity is the difference between what your home is worth today and what you still owe on your mortgage. If your home is worth $400,000 and you owe $250,000, you have $150,000 in equity. That number appears on Zillow. You check it occasionally. You feel good about it. And you do nothing with it.</w:t>
      </w:r>
    </w:p>
    <w:p>
      <w:pPr>
        <w:spacing w:after="120"/>
        <w:ind w:firstLine="480"/>
      </w:pPr>
      <w:r>
        <w:rPr>
          <w:rFonts w:ascii="Garamond" w:cs="Garamond" w:eastAsia="Garamond" w:hAnsi="Garamond"/>
          <w:b w:val="false"/>
          <w:bCs w:val="false"/>
          <w:i w:val="false"/>
          <w:iCs w:val="false"/>
          <w:color w:val="1A1A2E"/>
          <w:sz w:val="24"/>
          <w:szCs w:val="24"/>
        </w:rPr>
        <w:t xml:space="preserve">Accessible equity is different. It is the portion of your equity that a lender will let you borrow against through a Home Equity Line of Credit, or HELOC. Most lenders allow you to access 75% to 85% of your home’s value, minus what you owe.</w:t>
      </w:r>
    </w:p>
    <w:p>
      <w:pPr>
        <w:spacing w:after="120"/>
        <w:ind w:firstLine="480"/>
      </w:pPr>
      <w:r>
        <w:rPr>
          <w:rFonts w:ascii="Garamond" w:cs="Garamond" w:eastAsia="Garamond" w:hAnsi="Garamond"/>
          <w:b w:val="false"/>
          <w:bCs w:val="false"/>
          <w:i w:val="false"/>
          <w:iCs w:val="false"/>
          <w:color w:val="1A1A2E"/>
          <w:sz w:val="24"/>
          <w:szCs w:val="24"/>
        </w:rPr>
        <w:t xml:space="preserve">The math: $400,000 multiplied by 0.80 equals $320,000. Minus your $250,000 mortgage balance, that’s $70,000 in accessible equity. That $70,000 is a down payment on an investment property. And you didn’t save it. You didn’t earn it this year. It was sitting in your walls the entire time.</w:t>
      </w:r>
    </w:p>
    <w:p>
      <w:pPr>
        <w:spacing w:after="120"/>
        <w:ind w:firstLine="480"/>
      </w:pPr>
      <w:r>
        <w:rPr>
          <w:rFonts w:ascii="Garamond" w:cs="Garamond" w:eastAsia="Garamond" w:hAnsi="Garamond"/>
          <w:b w:val="false"/>
          <w:bCs w:val="false"/>
          <w:i w:val="false"/>
          <w:iCs w:val="false"/>
          <w:color w:val="1A1A2E"/>
          <w:sz w:val="24"/>
          <w:szCs w:val="24"/>
        </w:rPr>
        <w:t xml:space="preserve">In Miami, the numbers are even more dramatic. The median homeowner who purchased in the fourth quarter of 2020 is sitting on $320,295 in equity — twice the national level. Home values have appreciated 291% over fifteen years. Families bought homes for $200,000 that are now worth $580,000 or more.</w:t>
      </w:r>
    </w:p>
    <w:p>
      <w:pPr>
        <w:spacing w:after="120"/>
        <w:ind w:firstLine="480"/>
      </w:pPr>
      <w:r>
        <w:rPr>
          <w:rFonts w:ascii="Garamond" w:cs="Garamond" w:eastAsia="Garamond" w:hAnsi="Garamond"/>
          <w:b w:val="false"/>
          <w:bCs w:val="false"/>
          <w:i w:val="false"/>
          <w:iCs w:val="false"/>
          <w:color w:val="1A1A2E"/>
          <w:sz w:val="24"/>
          <w:szCs w:val="24"/>
        </w:rPr>
        <w:t xml:space="preserve">And the vast majority of them have never calculated their accessible equity. They know the Zillow number. They do not know the launchpad number. Because nobody told them to look for it.</w:t>
      </w:r>
    </w:p>
    <w:p>
      <w:pPr>
        <w:spacing w:after="120"/>
        <w:ind w:firstLine="480"/>
      </w:pPr>
      <w:r>
        <w:rPr>
          <w:rFonts w:ascii="Garamond" w:cs="Garamond" w:eastAsia="Garamond" w:hAnsi="Garamond"/>
          <w:b w:val="false"/>
          <w:bCs w:val="false"/>
          <w:i w:val="false"/>
          <w:iCs w:val="false"/>
          <w:color w:val="1A1A2E"/>
          <w:sz w:val="24"/>
          <w:szCs w:val="24"/>
        </w:rPr>
        <w:t xml:space="preserve">Step one of the Wealth Engine is calculating that number. It takes fifteen minutes. And for most homeowners, it is the most important fifteen minutes of their financial lives.</w:t>
      </w:r>
    </w:p>
    <w:p>
      <w:r>
        <w:br w:type="page"/>
      </w:r>
    </w:p>
    <w:p>
      <w:pPr>
        <w:spacing w:before="600" w:after="10"/>
        <w:jc w:val="center"/>
      </w:pPr>
      <w:r>
        <w:rPr>
          <w:rFonts w:ascii="Garamond" w:cs="Garamond" w:eastAsia="Garamond" w:hAnsi="Garamond"/>
          <w:i/>
          <w:iCs/>
          <w:color w:val="6B7280"/>
          <w:sz w:val="18"/>
          <w:szCs w:val="18"/>
        </w:rPr>
        <w:t xml:space="preserve">Chapter 2</w:t>
      </w:r>
    </w:p>
    <w:p>
      <w:pPr>
        <w:spacing w:after="40"/>
        <w:jc w:val="center"/>
      </w:pPr>
      <w:r>
        <w:rPr>
          <w:rFonts w:ascii="Garamond" w:cs="Garamond" w:eastAsia="Garamond" w:hAnsi="Garamond"/>
          <w:b/>
          <w:bCs/>
          <w:color w:val="1A1A2E"/>
          <w:sz w:val="30"/>
          <w:szCs w:val="30"/>
        </w:rPr>
        <w:t xml:space="preserve">Open a HELOC</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A HELOC — Home Equity Line of Credit — is a credit line secured by your home. Think of it as a credit card backed by your house, except the interest rate is significantly lower and the credit limit is based on your equity, not your credit score alone.</w:t>
      </w:r>
    </w:p>
    <w:p>
      <w:pPr>
        <w:spacing w:after="120"/>
        <w:ind w:firstLine="480"/>
      </w:pPr>
      <w:r>
        <w:rPr>
          <w:rFonts w:ascii="Garamond" w:cs="Garamond" w:eastAsia="Garamond" w:hAnsi="Garamond"/>
          <w:b w:val="false"/>
          <w:bCs w:val="false"/>
          <w:i w:val="false"/>
          <w:iCs w:val="false"/>
          <w:color w:val="1A1A2E"/>
          <w:sz w:val="24"/>
          <w:szCs w:val="24"/>
        </w:rPr>
        <w:t xml:space="preserve">The key features: there is a draw period, usually five to ten years, during which you can pull money out and pay only interest. Then there is a repayment period where you pay back the principal. The rate can be fixed or variable — and this distinction matters enormously.</w:t>
      </w:r>
    </w:p>
    <w:p>
      <w:pPr>
        <w:spacing w:after="120"/>
        <w:ind w:firstLine="480"/>
      </w:pPr>
      <w:r>
        <w:rPr>
          <w:rFonts w:ascii="Garamond" w:cs="Garamond" w:eastAsia="Garamond" w:hAnsi="Garamond"/>
          <w:b w:val="false"/>
          <w:bCs w:val="false"/>
          <w:i w:val="false"/>
          <w:iCs w:val="false"/>
          <w:color w:val="1A1A2E"/>
          <w:sz w:val="24"/>
          <w:szCs w:val="24"/>
        </w:rPr>
        <w:t xml:space="preserve">The purpose of the HELOC in the Wealth Engine is specific: it provides the down payment for an investment property. You are not using your HELOC to renovate your kitchen or pay off credit cards. You are using it as a capital deployment tool. Your home’s equity funds the acquisition of an income-producing asset.</w:t>
      </w:r>
    </w:p>
    <w:p>
      <w:pPr>
        <w:spacing w:after="120"/>
        <w:ind w:firstLine="480"/>
      </w:pPr>
      <w:r>
        <w:rPr>
          <w:rFonts w:ascii="Garamond" w:cs="Garamond" w:eastAsia="Garamond" w:hAnsi="Garamond"/>
          <w:b w:val="false"/>
          <w:bCs w:val="false"/>
          <w:i w:val="false"/>
          <w:iCs w:val="false"/>
          <w:color w:val="1A1A2E"/>
          <w:sz w:val="24"/>
          <w:szCs w:val="24"/>
        </w:rPr>
        <w:t xml:space="preserve">At Secure The Funding, we originate HELOCs at preferred rates for Wealth Engine clients. Because we are the lender — not a broker who sends your file to someone else — we control the rate, the terms, and the timeline.</w:t>
      </w:r>
    </w:p>
    <w:p>
      <w:pPr>
        <w:spacing w:after="120"/>
        <w:ind w:firstLine="480"/>
      </w:pPr>
      <w:r>
        <w:rPr>
          <w:rFonts w:ascii="Garamond" w:cs="Garamond" w:eastAsia="Garamond" w:hAnsi="Garamond"/>
          <w:b w:val="false"/>
          <w:bCs w:val="false"/>
          <w:i w:val="false"/>
          <w:iCs w:val="false"/>
          <w:color w:val="1A1A2E"/>
          <w:sz w:val="24"/>
          <w:szCs w:val="24"/>
        </w:rPr>
        <w:t xml:space="preserve">A common fear: “But I’m using my home as collateral.” Yes. You are. And that is a real risk that deserves an honest conversation, not a dismissal. If you default on the HELOC, your home is at risk. The Wealth Engine manages this risk by ensuring your investment property’s rental income can service both the DSCR loan and provide a buffer, by requiring cash reserves, and by providing ongoing portfolio review. The risk is real. But the risk of doing nothing — paying $25,000 a year in unnecessary taxes for thirty years — is $750,000. That is the bigger risk.</w:t>
      </w:r>
    </w:p>
    <w:p>
      <w:r>
        <w:br w:type="page"/>
      </w:r>
    </w:p>
    <w:p>
      <w:pPr>
        <w:spacing w:before="600" w:after="10"/>
        <w:jc w:val="center"/>
      </w:pPr>
      <w:r>
        <w:rPr>
          <w:rFonts w:ascii="Garamond" w:cs="Garamond" w:eastAsia="Garamond" w:hAnsi="Garamond"/>
          <w:i/>
          <w:iCs/>
          <w:color w:val="6B7280"/>
          <w:sz w:val="18"/>
          <w:szCs w:val="18"/>
        </w:rPr>
        <w:t xml:space="preserve">Chapter 3</w:t>
      </w:r>
    </w:p>
    <w:p>
      <w:pPr>
        <w:spacing w:after="40"/>
        <w:jc w:val="center"/>
      </w:pPr>
      <w:r>
        <w:rPr>
          <w:rFonts w:ascii="Garamond" w:cs="Garamond" w:eastAsia="Garamond" w:hAnsi="Garamond"/>
          <w:b/>
          <w:bCs/>
          <w:color w:val="1A1A2E"/>
          <w:sz w:val="30"/>
          <w:szCs w:val="30"/>
        </w:rPr>
        <w:t xml:space="preserve">Identify the Right Property</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Not every property is a Wealth Engine property. The right property meets three criteria: it generates enough rental income to cover its own mortgage, it is located in a market with strong rental demand, and it creates tax deductions that reduce your personal tax liability.</w:t>
      </w:r>
    </w:p>
    <w:p>
      <w:pPr>
        <w:spacing w:after="120"/>
        <w:ind w:firstLine="480"/>
      </w:pPr>
      <w:r>
        <w:rPr>
          <w:rFonts w:ascii="Garamond" w:cs="Garamond" w:eastAsia="Garamond" w:hAnsi="Garamond"/>
          <w:b w:val="false"/>
          <w:bCs w:val="false"/>
          <w:i w:val="false"/>
          <w:iCs w:val="false"/>
          <w:color w:val="1A1A2E"/>
          <w:sz w:val="24"/>
          <w:szCs w:val="24"/>
        </w:rPr>
        <w:t xml:space="preserve">The calculation that matters is called the Debt Service Coverage Ratio, or DSCR. This ratio divides the property’s monthly rental income by its total monthly debt obligations — principal, interest, taxes, insurance, and any association fees. A DSCR of 1.0 means the rent exactly covers the debt. A DSCR of 1.2 or higher means the property generates 20% more income than it needs to cover the mortgage. That surplus is your cash flow.</w:t>
      </w:r>
    </w:p>
    <w:p>
      <w:pPr>
        <w:spacing w:after="120"/>
        <w:ind w:firstLine="480"/>
      </w:pPr>
      <w:r>
        <w:rPr>
          <w:rFonts w:ascii="Garamond" w:cs="Garamond" w:eastAsia="Garamond" w:hAnsi="Garamond"/>
          <w:b w:val="false"/>
          <w:bCs w:val="false"/>
          <w:i w:val="false"/>
          <w:iCs w:val="false"/>
          <w:color w:val="1A1A2E"/>
          <w:sz w:val="24"/>
          <w:szCs w:val="24"/>
        </w:rPr>
        <w:t xml:space="preserve">In South Florida, rental demand is exceptionally strong. Miami single-family home prices have advanced in 167 of the last 168 months. Rental vacancy rates are among the lowest in the nation. And the combination of population growth, domestic migration, and tourism creates sustained demand across long-term and short-term rental markets.</w:t>
      </w:r>
    </w:p>
    <w:p>
      <w:pPr>
        <w:spacing w:after="120"/>
        <w:ind w:firstLine="480"/>
      </w:pPr>
      <w:r>
        <w:rPr>
          <w:rFonts w:ascii="Garamond" w:cs="Garamond" w:eastAsia="Garamond" w:hAnsi="Garamond"/>
          <w:b w:val="false"/>
          <w:bCs w:val="false"/>
          <w:i w:val="false"/>
          <w:iCs w:val="false"/>
          <w:color w:val="1A1A2E"/>
          <w:sz w:val="24"/>
          <w:szCs w:val="24"/>
        </w:rPr>
        <w:t xml:space="preserve">The Wealth Engine helps you identify the right property by running rental comparables, analyzing DSCR ratios, projecting cash flow after all expenses, and stress-testing the numbers against vacancy, maintenance, and insurance scenarios. You do not guess. You calculate.</w:t>
      </w:r>
    </w:p>
    <w:p>
      <w:r>
        <w:br w:type="page"/>
      </w:r>
    </w:p>
    <w:p>
      <w:pPr>
        <w:spacing w:before="600" w:after="10"/>
        <w:jc w:val="center"/>
      </w:pPr>
      <w:r>
        <w:rPr>
          <w:rFonts w:ascii="Garamond" w:cs="Garamond" w:eastAsia="Garamond" w:hAnsi="Garamond"/>
          <w:i/>
          <w:iCs/>
          <w:color w:val="6B7280"/>
          <w:sz w:val="18"/>
          <w:szCs w:val="18"/>
        </w:rPr>
        <w:t xml:space="preserve">Chapter 4</w:t>
      </w:r>
    </w:p>
    <w:p>
      <w:pPr>
        <w:spacing w:after="40"/>
        <w:jc w:val="center"/>
      </w:pPr>
      <w:r>
        <w:rPr>
          <w:rFonts w:ascii="Garamond" w:cs="Garamond" w:eastAsia="Garamond" w:hAnsi="Garamond"/>
          <w:b/>
          <w:bCs/>
          <w:color w:val="1A1A2E"/>
          <w:sz w:val="30"/>
          <w:szCs w:val="30"/>
        </w:rPr>
        <w:t xml:space="preserve">Secure a DSCR Loan</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This is the step that changes everything for most homeowners: you can buy an investment property without showing a W-2, a tax return, or a pay stub.</w:t>
      </w:r>
    </w:p>
    <w:p>
      <w:pPr>
        <w:spacing w:after="120"/>
        <w:ind w:firstLine="480"/>
      </w:pPr>
      <w:r>
        <w:rPr>
          <w:rFonts w:ascii="Garamond" w:cs="Garamond" w:eastAsia="Garamond" w:hAnsi="Garamond"/>
          <w:b w:val="false"/>
          <w:bCs w:val="false"/>
          <w:i w:val="false"/>
          <w:iCs w:val="false"/>
          <w:color w:val="1A1A2E"/>
          <w:sz w:val="24"/>
          <w:szCs w:val="24"/>
        </w:rPr>
        <w:t xml:space="preserve">A DSCR loan qualifies based on the property’s rental income, not your personal income. The lender asks one question: does this property generate enough rent to cover its debt? If the answer is yes, you are approved.</w:t>
      </w:r>
    </w:p>
    <w:p>
      <w:pPr>
        <w:spacing w:after="120"/>
        <w:ind w:firstLine="480"/>
      </w:pPr>
      <w:r>
        <w:rPr>
          <w:rFonts w:ascii="Garamond" w:cs="Garamond" w:eastAsia="Garamond" w:hAnsi="Garamond"/>
          <w:b w:val="false"/>
          <w:bCs w:val="false"/>
          <w:i w:val="false"/>
          <w:iCs w:val="false"/>
          <w:color w:val="1A1A2E"/>
          <w:sz w:val="24"/>
          <w:szCs w:val="24"/>
        </w:rPr>
        <w:t xml:space="preserve">This matters because many homeowners — particularly self-employed professionals, small business owners, and high-income earners who write off expenses — show low taxable income on their returns. The tax code rewards them for being smart. But conventional lenders punish them for it. DSCR loans solve this entirely.</w:t>
      </w:r>
    </w:p>
    <w:p>
      <w:pPr>
        <w:spacing w:after="120"/>
        <w:ind w:firstLine="480"/>
      </w:pPr>
      <w:r>
        <w:rPr>
          <w:rFonts w:ascii="Garamond" w:cs="Garamond" w:eastAsia="Garamond" w:hAnsi="Garamond"/>
          <w:b w:val="false"/>
          <w:bCs w:val="false"/>
          <w:i w:val="false"/>
          <w:iCs w:val="false"/>
          <w:color w:val="1A1A2E"/>
          <w:sz w:val="24"/>
          <w:szCs w:val="24"/>
        </w:rPr>
        <w:t xml:space="preserve">Additional benefits: there is no debt-to-income ratio calculation, which means your existing car payment, student loans, and primary mortgage do not count against you. Each investment property stands on its own. You can stack five, ten, twenty properties without hitting conventional lending limits.</w:t>
      </w:r>
    </w:p>
    <w:p>
      <w:pPr>
        <w:spacing w:after="120"/>
        <w:ind w:firstLine="480"/>
      </w:pPr>
      <w:r>
        <w:rPr>
          <w:rFonts w:ascii="Garamond" w:cs="Garamond" w:eastAsia="Garamond" w:hAnsi="Garamond"/>
          <w:b w:val="false"/>
          <w:bCs w:val="false"/>
          <w:i w:val="false"/>
          <w:iCs w:val="false"/>
          <w:color w:val="1A1A2E"/>
          <w:sz w:val="24"/>
          <w:szCs w:val="24"/>
        </w:rPr>
        <w:t xml:space="preserve">In Florida, DSCR loans for business-purpose investments must close in an LLC or corporation. This is actually a benefit — it separates the investment from your personal assets and provides liability protection.</w:t>
      </w:r>
    </w:p>
    <w:p>
      <w:pPr>
        <w:spacing w:after="120"/>
        <w:ind w:firstLine="480"/>
      </w:pPr>
      <w:r>
        <w:rPr>
          <w:rFonts w:ascii="Garamond" w:cs="Garamond" w:eastAsia="Garamond" w:hAnsi="Garamond"/>
          <w:b w:val="false"/>
          <w:bCs w:val="false"/>
          <w:i w:val="false"/>
          <w:iCs w:val="false"/>
          <w:color w:val="1A1A2E"/>
          <w:sz w:val="24"/>
          <w:szCs w:val="24"/>
        </w:rPr>
        <w:t xml:space="preserve">Secure The Funding funds DSCR loans directly. We are the lender. When you come to us, there is no middleman adding a fee between you and your capital. And for Wealth Engine clients, we offer preferred rates that no broker can match — because your success is our business model.</w:t>
      </w:r>
    </w:p>
    <w:p>
      <w:r>
        <w:br w:type="page"/>
      </w:r>
    </w:p>
    <w:p>
      <w:pPr>
        <w:spacing w:before="600" w:after="10"/>
        <w:jc w:val="center"/>
      </w:pPr>
      <w:r>
        <w:rPr>
          <w:rFonts w:ascii="Garamond" w:cs="Garamond" w:eastAsia="Garamond" w:hAnsi="Garamond"/>
          <w:i/>
          <w:iCs/>
          <w:color w:val="6B7280"/>
          <w:sz w:val="18"/>
          <w:szCs w:val="18"/>
        </w:rPr>
        <w:t xml:space="preserve">Chapter 5</w:t>
      </w:r>
    </w:p>
    <w:p>
      <w:pPr>
        <w:spacing w:after="40"/>
        <w:jc w:val="center"/>
      </w:pPr>
      <w:r>
        <w:rPr>
          <w:rFonts w:ascii="Garamond" w:cs="Garamond" w:eastAsia="Garamond" w:hAnsi="Garamond"/>
          <w:b/>
          <w:bCs/>
          <w:color w:val="1A1A2E"/>
          <w:sz w:val="30"/>
          <w:szCs w:val="30"/>
        </w:rPr>
        <w:t xml:space="preserve">Structure the Entity</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Before you close on the property, you need a legal entity. In most cases, this is a Limited Liability Company — an LLC.</w:t>
      </w:r>
    </w:p>
    <w:p>
      <w:pPr>
        <w:spacing w:after="120"/>
        <w:ind w:firstLine="480"/>
      </w:pPr>
      <w:r>
        <w:rPr>
          <w:rFonts w:ascii="Garamond" w:cs="Garamond" w:eastAsia="Garamond" w:hAnsi="Garamond"/>
          <w:b w:val="false"/>
          <w:bCs w:val="false"/>
          <w:i w:val="false"/>
          <w:iCs w:val="false"/>
          <w:color w:val="1A1A2E"/>
          <w:sz w:val="24"/>
          <w:szCs w:val="24"/>
        </w:rPr>
        <w:t xml:space="preserve">The LLC serves three purposes. First, it separates your investment property from your personal assets. If a tenant sues or an accident occurs on the property, the LLC acts as a wall between the lawsuit and your personal home, bank accounts, and car. Second, DSCR loans in Florida require closing in a business entity — so you need one anyway. Third, the LLC provides flexibility in how the income and deductions are reported on your tax return.</w:t>
      </w:r>
    </w:p>
    <w:p>
      <w:pPr>
        <w:spacing w:after="120"/>
        <w:ind w:firstLine="480"/>
      </w:pPr>
      <w:r>
        <w:rPr>
          <w:rFonts w:ascii="Garamond" w:cs="Garamond" w:eastAsia="Garamond" w:hAnsi="Garamond"/>
          <w:b w:val="false"/>
          <w:bCs w:val="false"/>
          <w:i w:val="false"/>
          <w:iCs w:val="false"/>
          <w:color w:val="1A1A2E"/>
          <w:sz w:val="24"/>
          <w:szCs w:val="24"/>
        </w:rPr>
        <w:t xml:space="preserve">Most LLCs for single investment properties are structured as single-member disregarded entities. This means the income and deductions flow directly to your personal tax return without requiring a separate business tax filing. It is the simplest structure and the most appropriate for most Wealth Engine clients.</w:t>
      </w:r>
    </w:p>
    <w:p>
      <w:pPr>
        <w:spacing w:after="120"/>
        <w:ind w:firstLine="480"/>
      </w:pPr>
      <w:r>
        <w:rPr>
          <w:rFonts w:ascii="Garamond" w:cs="Garamond" w:eastAsia="Garamond" w:hAnsi="Garamond"/>
          <w:b w:val="false"/>
          <w:bCs w:val="false"/>
          <w:i w:val="false"/>
          <w:iCs w:val="false"/>
          <w:color w:val="1A1A2E"/>
          <w:sz w:val="24"/>
          <w:szCs w:val="24"/>
        </w:rPr>
        <w:t xml:space="preserve">Through the Wealth Engine’s provider partnerships, LLC formation is handled for you at a fraction of retail cost. Operating agreement drafted. EIN obtained. Business bank account guidance provided. Property titled in the LLC name at closing. One less thing for you to manage.</w:t>
      </w:r>
    </w:p>
    <w:p>
      <w:r>
        <w:br w:type="page"/>
      </w:r>
    </w:p>
    <w:p>
      <w:pPr>
        <w:spacing w:before="600" w:after="10"/>
        <w:jc w:val="center"/>
      </w:pPr>
      <w:r>
        <w:rPr>
          <w:rFonts w:ascii="Garamond" w:cs="Garamond" w:eastAsia="Garamond" w:hAnsi="Garamond"/>
          <w:i/>
          <w:iCs/>
          <w:color w:val="6B7280"/>
          <w:sz w:val="18"/>
          <w:szCs w:val="18"/>
        </w:rPr>
        <w:t xml:space="preserve">Chapter 6</w:t>
      </w:r>
    </w:p>
    <w:p>
      <w:pPr>
        <w:spacing w:after="40"/>
        <w:jc w:val="center"/>
      </w:pPr>
      <w:r>
        <w:rPr>
          <w:rFonts w:ascii="Garamond" w:cs="Garamond" w:eastAsia="Garamond" w:hAnsi="Garamond"/>
          <w:b/>
          <w:bCs/>
          <w:color w:val="1A1A2E"/>
          <w:sz w:val="30"/>
          <w:szCs w:val="30"/>
        </w:rPr>
        <w:t xml:space="preserve">Close on the Property</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Closing day is when the strategy becomes real.</w:t>
      </w:r>
    </w:p>
    <w:p>
      <w:pPr>
        <w:spacing w:after="120"/>
        <w:ind w:firstLine="480"/>
      </w:pPr>
      <w:r>
        <w:rPr>
          <w:rFonts w:ascii="Garamond" w:cs="Garamond" w:eastAsia="Garamond" w:hAnsi="Garamond"/>
          <w:b w:val="false"/>
          <w:bCs w:val="false"/>
          <w:i w:val="false"/>
          <w:iCs w:val="false"/>
          <w:color w:val="1A1A2E"/>
          <w:sz w:val="24"/>
          <w:szCs w:val="24"/>
        </w:rPr>
        <w:t xml:space="preserve">The coordination involved in closing an investment property is significant: title search, title insurance, lender document preparation, LLC vesting, insurance binding, tenant estoppel review if the property is already rented, and final walkthrough. For most first-time investors, this process is overwhelming. For a Wealth Engine client, it is managed.</w:t>
      </w:r>
    </w:p>
    <w:p>
      <w:pPr>
        <w:spacing w:after="120"/>
        <w:ind w:firstLine="480"/>
      </w:pPr>
      <w:r>
        <w:rPr>
          <w:rFonts w:ascii="Garamond" w:cs="Garamond" w:eastAsia="Garamond" w:hAnsi="Garamond"/>
          <w:b w:val="false"/>
          <w:bCs w:val="false"/>
          <w:i w:val="false"/>
          <w:iCs w:val="false"/>
          <w:color w:val="1A1A2E"/>
          <w:sz w:val="24"/>
          <w:szCs w:val="24"/>
        </w:rPr>
        <w:t xml:space="preserve">Secure The Funding coordinates the entire closing process. Title, insurance, lender docs, LLC vesting — all managed under one roof. The client signs documents at the title company. Keys in hand. Tenant secured within weeks.</w:t>
      </w:r>
    </w:p>
    <w:p>
      <w:pPr>
        <w:spacing w:after="120"/>
        <w:ind w:firstLine="480"/>
      </w:pPr>
      <w:r>
        <w:rPr>
          <w:rFonts w:ascii="Garamond" w:cs="Garamond" w:eastAsia="Garamond" w:hAnsi="Garamond"/>
          <w:b w:val="false"/>
          <w:bCs w:val="false"/>
          <w:i w:val="false"/>
          <w:iCs w:val="false"/>
          <w:color w:val="1A1A2E"/>
          <w:sz w:val="24"/>
          <w:szCs w:val="24"/>
        </w:rPr>
        <w:t xml:space="preserve">For Wealth Engine Core clients, the closing includes significant cost savings: processing fees negotiated down from $1,500 to $500, a $500 appraisal credit, and a $150 credit report fee covered by STF. That is over $1,600 in savings at the closing table — savings that a regular client at any other lender would not receive.</w:t>
      </w:r>
    </w:p>
    <w:p>
      <w:pPr>
        <w:spacing w:after="120"/>
        <w:ind w:firstLine="480"/>
      </w:pPr>
      <w:r>
        <w:rPr>
          <w:rFonts w:ascii="Garamond" w:cs="Garamond" w:eastAsia="Garamond" w:hAnsi="Garamond"/>
          <w:b w:val="false"/>
          <w:bCs w:val="false"/>
          <w:i w:val="false"/>
          <w:iCs w:val="false"/>
          <w:color w:val="1A1A2E"/>
          <w:sz w:val="24"/>
          <w:szCs w:val="24"/>
        </w:rPr>
        <w:t xml:space="preserve">For Founding Pride members — the first ten Miami families in the Wealth Engine — these savings are included alongside complimentary Inner Tribe membership for the first year. The founding families get the best terms that will ever exist.</w:t>
      </w:r>
    </w:p>
    <w:p>
      <w:r>
        <w:br w:type="page"/>
      </w:r>
    </w:p>
    <w:p>
      <w:pPr>
        <w:spacing w:before="600" w:after="10"/>
        <w:jc w:val="center"/>
      </w:pPr>
      <w:r>
        <w:rPr>
          <w:rFonts w:ascii="Garamond" w:cs="Garamond" w:eastAsia="Garamond" w:hAnsi="Garamond"/>
          <w:i/>
          <w:iCs/>
          <w:color w:val="6B7280"/>
          <w:sz w:val="18"/>
          <w:szCs w:val="18"/>
        </w:rPr>
        <w:t xml:space="preserve">Chapter 7</w:t>
      </w:r>
    </w:p>
    <w:p>
      <w:pPr>
        <w:spacing w:after="40"/>
        <w:jc w:val="center"/>
      </w:pPr>
      <w:r>
        <w:rPr>
          <w:rFonts w:ascii="Garamond" w:cs="Garamond" w:eastAsia="Garamond" w:hAnsi="Garamond"/>
          <w:b/>
          <w:bCs/>
          <w:color w:val="1A1A2E"/>
          <w:sz w:val="30"/>
          <w:szCs w:val="30"/>
        </w:rPr>
        <w:t xml:space="preserve">Implement Depreciation</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This is where the tax code becomes your most powerful tool.</w:t>
      </w:r>
    </w:p>
    <w:p>
      <w:pPr>
        <w:spacing w:after="120"/>
        <w:ind w:firstLine="480"/>
      </w:pPr>
      <w:r>
        <w:rPr>
          <w:rFonts w:ascii="Garamond" w:cs="Garamond" w:eastAsia="Garamond" w:hAnsi="Garamond"/>
          <w:b w:val="false"/>
          <w:bCs w:val="false"/>
          <w:i w:val="false"/>
          <w:iCs w:val="false"/>
          <w:color w:val="1A1A2E"/>
          <w:sz w:val="24"/>
          <w:szCs w:val="24"/>
        </w:rPr>
        <w:t xml:space="preserve">When you own a rental property, the IRS allows you to deduct the cost of the building — not the land, just the building — over 27.5 years. This is called depreciation. It is a paper loss. You are not actually losing money. In fact, the property is almost certainly appreciating. But on paper, the IRS says the building is wearing out, and they let you deduct a portion of its cost every year.</w:t>
      </w:r>
    </w:p>
    <w:p>
      <w:pPr>
        <w:spacing w:after="120"/>
        <w:ind w:firstLine="480"/>
      </w:pPr>
      <w:r>
        <w:rPr>
          <w:rFonts w:ascii="Garamond" w:cs="Garamond" w:eastAsia="Garamond" w:hAnsi="Garamond"/>
          <w:b w:val="false"/>
          <w:bCs w:val="false"/>
          <w:i w:val="false"/>
          <w:iCs w:val="false"/>
          <w:color w:val="1A1A2E"/>
          <w:sz w:val="24"/>
          <w:szCs w:val="24"/>
        </w:rPr>
        <w:t xml:space="preserve">On a $300,000 property where the land is worth $60,000, your depreciable basis is $240,000. Divided by 27.5 years, that is approximately $8,727 per year in depreciation deductions. Add that to your mortgage interest deductions, property taxes, insurance, management fees, and other operating expenses, and one rental property can generate $25,000 to $35,000 in total annual deductions.</w:t>
      </w:r>
    </w:p>
    <w:p>
      <w:pPr>
        <w:spacing w:after="120"/>
        <w:ind w:firstLine="480"/>
      </w:pPr>
      <w:r>
        <w:rPr>
          <w:rFonts w:ascii="Garamond" w:cs="Garamond" w:eastAsia="Garamond" w:hAnsi="Garamond"/>
          <w:b w:val="false"/>
          <w:bCs w:val="false"/>
          <w:i w:val="false"/>
          <w:iCs w:val="false"/>
          <w:color w:val="1A1A2E"/>
          <w:sz w:val="24"/>
          <w:szCs w:val="24"/>
        </w:rPr>
        <w:t xml:space="preserve">For a family making $120,000 per year, $30,000 in deductions reduces your taxable income to $90,000. At a 22% tax rate, that is roughly $6,600 in real tax savings. From one property. And the property is simultaneously building equity, appreciating in value, and generating rental income. The tax savings are the bonus on top of an already productive asset.</w:t>
      </w:r>
    </w:p>
    <w:p>
      <w:r>
        <w:br w:type="page"/>
      </w:r>
    </w:p>
    <w:p>
      <w:pPr>
        <w:spacing w:before="600" w:after="10"/>
        <w:jc w:val="center"/>
      </w:pPr>
      <w:r>
        <w:rPr>
          <w:rFonts w:ascii="Garamond" w:cs="Garamond" w:eastAsia="Garamond" w:hAnsi="Garamond"/>
          <w:i/>
          <w:iCs/>
          <w:color w:val="6B7280"/>
          <w:sz w:val="18"/>
          <w:szCs w:val="18"/>
        </w:rPr>
        <w:t xml:space="preserve">Chapter 8</w:t>
      </w:r>
    </w:p>
    <w:p>
      <w:pPr>
        <w:spacing w:after="40"/>
        <w:jc w:val="center"/>
      </w:pPr>
      <w:r>
        <w:rPr>
          <w:rFonts w:ascii="Garamond" w:cs="Garamond" w:eastAsia="Garamond" w:hAnsi="Garamond"/>
          <w:b/>
          <w:bCs/>
          <w:color w:val="1A1A2E"/>
          <w:sz w:val="30"/>
          <w:szCs w:val="30"/>
        </w:rPr>
        <w:t xml:space="preserve">Accelerate with Cost Segregation</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Standard depreciation gives you $8,727 a year. Cost segregation gives you $67,000 in year one. Same property. Same tax code.</w:t>
      </w:r>
    </w:p>
    <w:p>
      <w:pPr>
        <w:spacing w:after="120"/>
        <w:ind w:firstLine="480"/>
      </w:pPr>
      <w:r>
        <w:rPr>
          <w:rFonts w:ascii="Garamond" w:cs="Garamond" w:eastAsia="Garamond" w:hAnsi="Garamond"/>
          <w:b w:val="false"/>
          <w:bCs w:val="false"/>
          <w:i w:val="false"/>
          <w:iCs w:val="false"/>
          <w:color w:val="1A1A2E"/>
          <w:sz w:val="24"/>
          <w:szCs w:val="24"/>
        </w:rPr>
        <w:t xml:space="preserve">A cost segregation study is an engineering-based analysis that breaks your rental property into its individual components. A building is not just a building. It is made up of thousands of pieces: appliances, carpet, light fixtures, cabinetry, landscaping, paving, fencing, plumbing, electrical, HVAC.</w:t>
      </w:r>
    </w:p>
    <w:p>
      <w:pPr>
        <w:spacing w:after="120"/>
        <w:ind w:firstLine="480"/>
      </w:pPr>
      <w:r>
        <w:rPr>
          <w:rFonts w:ascii="Garamond" w:cs="Garamond" w:eastAsia="Garamond" w:hAnsi="Garamond"/>
          <w:b w:val="false"/>
          <w:bCs w:val="false"/>
          <w:i w:val="false"/>
          <w:iCs w:val="false"/>
          <w:color w:val="1A1A2E"/>
          <w:sz w:val="24"/>
          <w:szCs w:val="24"/>
        </w:rPr>
        <w:t xml:space="preserve">Under standard depreciation, all of those components are lumped together and depreciated over 27.5 years. But the IRS actually categorizes different components into different depreciation schedules. Appliances, carpet, and certain fixtures are five-year property. Furniture and some equipment is seven-year property. Landscaping, paving, and fencing are fifteen-year property. Only the actual structure stays at 27.5 years.</w:t>
      </w:r>
    </w:p>
    <w:p>
      <w:pPr>
        <w:spacing w:after="120"/>
        <w:ind w:firstLine="480"/>
      </w:pPr>
      <w:r>
        <w:rPr>
          <w:rFonts w:ascii="Garamond" w:cs="Garamond" w:eastAsia="Garamond" w:hAnsi="Garamond"/>
          <w:b w:val="false"/>
          <w:bCs w:val="false"/>
          <w:i w:val="false"/>
          <w:iCs w:val="false"/>
          <w:color w:val="1A1A2E"/>
          <w:sz w:val="24"/>
          <w:szCs w:val="24"/>
        </w:rPr>
        <w:t xml:space="preserve">With the reinstatement of 100% bonus depreciation under the One Big Beautiful Bill passed in 2025, all five-year, seven-year, and fifteen-year components can be written off entirely in the year of acquisition. Not spread over five years. Not spread over fifteen. One hundred percent in year one.</w:t>
      </w:r>
    </w:p>
    <w:p>
      <w:pPr>
        <w:spacing w:after="120"/>
        <w:ind w:firstLine="480"/>
      </w:pPr>
      <w:r>
        <w:rPr>
          <w:rFonts w:ascii="Garamond" w:cs="Garamond" w:eastAsia="Garamond" w:hAnsi="Garamond"/>
          <w:b w:val="false"/>
          <w:bCs w:val="false"/>
          <w:i w:val="false"/>
          <w:iCs w:val="false"/>
          <w:color w:val="1A1A2E"/>
          <w:sz w:val="24"/>
          <w:szCs w:val="24"/>
        </w:rPr>
        <w:t xml:space="preserve">The result: a $300,000 property with $240,000 in depreciable basis might yield $67,000 or more in year-one deductions through cost segregation — compared to $8,727 under standard depreciation. For a family making $135,000, this single acceleration can reduce the tax bill from $28,000 to $3,400.</w:t>
      </w:r>
    </w:p>
    <w:p>
      <w:pPr>
        <w:spacing w:after="120"/>
        <w:ind w:firstLine="480"/>
      </w:pPr>
      <w:r>
        <w:rPr>
          <w:rFonts w:ascii="Garamond" w:cs="Garamond" w:eastAsia="Garamond" w:hAnsi="Garamond"/>
          <w:b w:val="false"/>
          <w:bCs w:val="false"/>
          <w:i w:val="false"/>
          <w:iCs w:val="false"/>
          <w:color w:val="1A1A2E"/>
          <w:sz w:val="24"/>
          <w:szCs w:val="24"/>
        </w:rPr>
        <w:t xml:space="preserve">That is not theory. That is a projection from the first Wealth Engine cohort in Miami. Real family. Real numbers. Real tax plan built by a real CPA.</w:t>
      </w:r>
    </w:p>
    <w:p>
      <w:r>
        <w:br w:type="page"/>
      </w:r>
    </w:p>
    <w:p>
      <w:pPr>
        <w:spacing w:before="600" w:after="10"/>
        <w:jc w:val="center"/>
      </w:pPr>
      <w:r>
        <w:rPr>
          <w:rFonts w:ascii="Garamond" w:cs="Garamond" w:eastAsia="Garamond" w:hAnsi="Garamond"/>
          <w:i/>
          <w:iCs/>
          <w:color w:val="6B7280"/>
          <w:sz w:val="18"/>
          <w:szCs w:val="18"/>
        </w:rPr>
        <w:t xml:space="preserve">Chapter 9</w:t>
      </w:r>
    </w:p>
    <w:p>
      <w:pPr>
        <w:spacing w:after="40"/>
        <w:jc w:val="center"/>
      </w:pPr>
      <w:r>
        <w:rPr>
          <w:rFonts w:ascii="Garamond" w:cs="Garamond" w:eastAsia="Garamond" w:hAnsi="Garamond"/>
          <w:b/>
          <w:bCs/>
          <w:color w:val="1A1A2E"/>
          <w:sz w:val="30"/>
          <w:szCs w:val="30"/>
        </w:rPr>
        <w:t xml:space="preserve">Adjust Your W-4</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Most people experience tax savings as a refund in April. The Wealth Engine delivers tax savings in every paycheck.</w:t>
      </w:r>
    </w:p>
    <w:p>
      <w:pPr>
        <w:spacing w:after="120"/>
        <w:ind w:firstLine="480"/>
      </w:pPr>
      <w:r>
        <w:rPr>
          <w:rFonts w:ascii="Garamond" w:cs="Garamond" w:eastAsia="Garamond" w:hAnsi="Garamond"/>
          <w:b w:val="false"/>
          <w:bCs w:val="false"/>
          <w:i w:val="false"/>
          <w:iCs w:val="false"/>
          <w:color w:val="1A1A2E"/>
          <w:sz w:val="24"/>
          <w:szCs w:val="24"/>
        </w:rPr>
        <w:t xml:space="preserve">When your tax liability drops because of investment property deductions, you have the option to adjust your W-4 with your employer. The W-4 tells your employer how much federal tax to withhold from each paycheck. If your deductions now reduce your tax bill from $28,000 to $3,400, you no longer need $28,000 withheld. You need $3,400.</w:t>
      </w:r>
    </w:p>
    <w:p>
      <w:pPr>
        <w:spacing w:after="120"/>
        <w:ind w:firstLine="480"/>
      </w:pPr>
      <w:r>
        <w:rPr>
          <w:rFonts w:ascii="Garamond" w:cs="Garamond" w:eastAsia="Garamond" w:hAnsi="Garamond"/>
          <w:b w:val="false"/>
          <w:bCs w:val="false"/>
          <w:i w:val="false"/>
          <w:iCs w:val="false"/>
          <w:color w:val="1A1A2E"/>
          <w:sz w:val="24"/>
          <w:szCs w:val="24"/>
        </w:rPr>
        <w:t xml:space="preserve">The difference — approximately $24,600 — stays in your paycheck. Spread across 24 pay periods, that is roughly $1,025 more per paycheck. Or approximately $2,050 more per month.</w:t>
      </w:r>
    </w:p>
    <w:p>
      <w:pPr>
        <w:spacing w:after="120"/>
        <w:ind w:firstLine="480"/>
      </w:pPr>
      <w:r>
        <w:rPr>
          <w:rFonts w:ascii="Garamond" w:cs="Garamond" w:eastAsia="Garamond" w:hAnsi="Garamond"/>
          <w:b w:val="false"/>
          <w:bCs w:val="false"/>
          <w:i w:val="false"/>
          <w:iCs w:val="false"/>
          <w:color w:val="1A1A2E"/>
          <w:sz w:val="24"/>
          <w:szCs w:val="24"/>
        </w:rPr>
        <w:t xml:space="preserve">This is not an April windfall. This is a restructuring of your cash flow that takes effect immediately. The next paycheck. Not the next tax season.</w:t>
      </w:r>
    </w:p>
    <w:p>
      <w:pPr>
        <w:spacing w:after="120"/>
        <w:ind w:firstLine="480"/>
      </w:pPr>
      <w:r>
        <w:rPr>
          <w:rFonts w:ascii="Garamond" w:cs="Garamond" w:eastAsia="Garamond" w:hAnsi="Garamond"/>
          <w:b w:val="false"/>
          <w:bCs w:val="false"/>
          <w:i w:val="false"/>
          <w:iCs w:val="false"/>
          <w:color w:val="1A1A2E"/>
          <w:sz w:val="24"/>
          <w:szCs w:val="24"/>
        </w:rPr>
        <w:t xml:space="preserve">Our tax partners calculate the exact W-4 adjustment for every Wealth Engine client. They ensure the withholding matches the actual liability so you do not under-withhold and create a penalty, and you do not over-withhold and give the government a free loan for twelve months.</w:t>
      </w:r>
    </w:p>
    <w:p>
      <w:pPr>
        <w:spacing w:after="120"/>
        <w:ind w:firstLine="480"/>
      </w:pPr>
      <w:r>
        <w:rPr>
          <w:rFonts w:ascii="Garamond" w:cs="Garamond" w:eastAsia="Garamond" w:hAnsi="Garamond"/>
          <w:b w:val="false"/>
          <w:bCs w:val="false"/>
          <w:i w:val="false"/>
          <w:iCs w:val="false"/>
          <w:color w:val="1A1A2E"/>
          <w:sz w:val="24"/>
          <w:szCs w:val="24"/>
        </w:rPr>
        <w:t xml:space="preserve">When the first Wealth Engine client saw her adjusted paycheck — $2,083 more per month than she was accustomed to — she said: “I’ve been giving the government $2,000 a month for FREE?” The answer was yes. For years.</w:t>
      </w:r>
    </w:p>
    <w:p>
      <w:r>
        <w:br w:type="page"/>
      </w:r>
    </w:p>
    <w:p>
      <w:pPr>
        <w:spacing w:before="600" w:after="10"/>
        <w:jc w:val="center"/>
      </w:pPr>
      <w:r>
        <w:rPr>
          <w:rFonts w:ascii="Garamond" w:cs="Garamond" w:eastAsia="Garamond" w:hAnsi="Garamond"/>
          <w:i/>
          <w:iCs/>
          <w:color w:val="6B7280"/>
          <w:sz w:val="18"/>
          <w:szCs w:val="18"/>
        </w:rPr>
        <w:t xml:space="preserve">Chapter 10</w:t>
      </w:r>
    </w:p>
    <w:p>
      <w:pPr>
        <w:spacing w:after="40"/>
        <w:jc w:val="center"/>
      </w:pPr>
      <w:r>
        <w:rPr>
          <w:rFonts w:ascii="Garamond" w:cs="Garamond" w:eastAsia="Garamond" w:hAnsi="Garamond"/>
          <w:b/>
          <w:bCs/>
          <w:color w:val="1A1A2E"/>
          <w:sz w:val="30"/>
          <w:szCs w:val="30"/>
        </w:rPr>
        <w:t xml:space="preserve">Reinvest and Repeat</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The Wealth Engine is not a one-time event. It is a cycle.</w:t>
      </w:r>
    </w:p>
    <w:p>
      <w:pPr>
        <w:spacing w:after="120"/>
        <w:ind w:firstLine="480"/>
      </w:pPr>
      <w:r>
        <w:rPr>
          <w:rFonts w:ascii="Garamond" w:cs="Garamond" w:eastAsia="Garamond" w:hAnsi="Garamond"/>
          <w:b w:val="false"/>
          <w:bCs w:val="false"/>
          <w:i w:val="false"/>
          <w:iCs w:val="false"/>
          <w:color w:val="1A1A2E"/>
          <w:sz w:val="24"/>
          <w:szCs w:val="24"/>
        </w:rPr>
        <w:t xml:space="preserve">Year one: you pull a HELOC, buy a rental property through a DSCR loan funded by Secure The Funding, implement depreciation and cost segregation, adjust your W-4, and your tax bill drops to near zero. Your monthly take-home pay increases by $1,000 to $2,000 or more. Your rental property cash flows after expenses.</w:t>
      </w:r>
    </w:p>
    <w:p>
      <w:pPr>
        <w:spacing w:after="120"/>
        <w:ind w:firstLine="480"/>
      </w:pPr>
      <w:r>
        <w:rPr>
          <w:rFonts w:ascii="Garamond" w:cs="Garamond" w:eastAsia="Garamond" w:hAnsi="Garamond"/>
          <w:b w:val="false"/>
          <w:bCs w:val="false"/>
          <w:i w:val="false"/>
          <w:iCs w:val="false"/>
          <w:color w:val="1A1A2E"/>
          <w:sz w:val="24"/>
          <w:szCs w:val="24"/>
        </w:rPr>
        <w:t xml:space="preserve">Year two: your tax savings from year one, combined with your rental cash flow and remaining HELOC availability, fund the down payment for property number two. The second property adds more deductions, more cash flow, and more equity. Your portfolio grows.</w:t>
      </w:r>
    </w:p>
    <w:p>
      <w:pPr>
        <w:spacing w:after="120"/>
        <w:ind w:firstLine="480"/>
      </w:pPr>
      <w:r>
        <w:rPr>
          <w:rFonts w:ascii="Garamond" w:cs="Garamond" w:eastAsia="Garamond" w:hAnsi="Garamond"/>
          <w:b w:val="false"/>
          <w:bCs w:val="false"/>
          <w:i w:val="false"/>
          <w:iCs w:val="false"/>
          <w:color w:val="1A1A2E"/>
          <w:sz w:val="24"/>
          <w:szCs w:val="24"/>
        </w:rPr>
        <w:t xml:space="preserve">Year three: property three. Year four: property four. Year five: five properties, a growing portfolio of cash-flowing assets, significant annual tax savings, and hundreds of thousands of dollars in combined equity.</w:t>
      </w:r>
    </w:p>
    <w:p>
      <w:pPr>
        <w:spacing w:after="120"/>
        <w:ind w:firstLine="480"/>
      </w:pPr>
      <w:r>
        <w:rPr>
          <w:rFonts w:ascii="Garamond" w:cs="Garamond" w:eastAsia="Garamond" w:hAnsi="Garamond"/>
          <w:b w:val="false"/>
          <w:bCs w:val="false"/>
          <w:i w:val="false"/>
          <w:iCs w:val="false"/>
          <w:color w:val="1A1A2E"/>
          <w:sz w:val="24"/>
          <w:szCs w:val="24"/>
        </w:rPr>
        <w:t xml:space="preserve">This is the compounding cycle. Each property funds the next. Each year’s tax savings accelerate the following year’s acquisition. The engine feeds itself. And it gets easier with each iteration because the team is in place, the tax strategy is established, and the lending relationship is already active.</w:t>
      </w:r>
    </w:p>
    <w:p>
      <w:pPr>
        <w:spacing w:after="120"/>
        <w:ind w:firstLine="480"/>
      </w:pPr>
      <w:r>
        <w:rPr>
          <w:rFonts w:ascii="Garamond" w:cs="Garamond" w:eastAsia="Garamond" w:hAnsi="Garamond"/>
          <w:b w:val="false"/>
          <w:bCs w:val="false"/>
          <w:i w:val="false"/>
          <w:iCs w:val="false"/>
          <w:color w:val="1A1A2E"/>
          <w:sz w:val="24"/>
          <w:szCs w:val="24"/>
        </w:rPr>
        <w:t xml:space="preserve">The families who follow this cycle for five years will look back and wonder why they waited. The families who wait five more years will look back and calculate the cost of inaction: $125,000 or more in taxes paid that were never owed.</w:t>
      </w:r>
    </w:p>
    <w:p>
      <w:r>
        <w:br w:type="page"/>
      </w:r>
    </w:p>
    <w:p>
      <w:pPr>
        <w:spacing w:before="600" w:after="10"/>
        <w:jc w:val="center"/>
      </w:pPr>
      <w:r>
        <w:rPr>
          <w:rFonts w:ascii="Garamond" w:cs="Garamond" w:eastAsia="Garamond" w:hAnsi="Garamond"/>
          <w:i/>
          <w:iCs/>
          <w:color w:val="6B7280"/>
          <w:sz w:val="18"/>
          <w:szCs w:val="18"/>
        </w:rPr>
        <w:t xml:space="preserve">Chapter </w:t>
      </w:r>
    </w:p>
    <w:p>
      <w:pPr>
        <w:spacing w:after="40"/>
        <w:jc w:val="center"/>
      </w:pPr>
      <w:r>
        <w:rPr>
          <w:rFonts w:ascii="Garamond" w:cs="Garamond" w:eastAsia="Garamond" w:hAnsi="Garamond"/>
          <w:b/>
          <w:bCs/>
          <w:color w:val="1A1A2E"/>
          <w:sz w:val="30"/>
          <w:szCs w:val="30"/>
        </w:rPr>
        <w:t xml:space="preserve">The Real Cost: DIY vs. Wealth Engine</w:t>
      </w:r>
    </w:p>
    <w:p>
      <w:pPr>
        <w:pBdr>
          <w:bottom w:val="single" w:color="C49A3C" w:sz="2" w:space="8"/>
        </w:pBdr>
        <w:spacing w:after="200"/>
        <w:jc w:val="center"/>
      </w:pPr>
    </w:p>
    <w:p>
      <w:pPr>
        <w:spacing w:after="200"/>
      </w:pPr>
      <w:r>
        <w:rPr>
          <w:rFonts w:ascii="Garamond" w:cs="Garamond" w:eastAsia="Garamond" w:hAnsi="Garamond"/>
          <w:b w:val="false"/>
          <w:bCs w:val="false"/>
          <w:i w:val="false"/>
          <w:iCs w:val="false"/>
          <w:color w:val="1A1A2E"/>
          <w:sz w:val="24"/>
          <w:szCs w:val="24"/>
        </w:rPr>
        <w:t xml:space="preserve">Before you close this book, I want you to see something that most coaches, consultants, and financial advisors will never show you: the real cost of doing this yourself versus doing it with a team.</w:t>
      </w:r>
    </w:p>
    <w:p>
      <w:pPr>
        <w:spacing w:after="40"/>
      </w:pPr>
      <w:r>
        <w:rPr>
          <w:rFonts w:ascii="Garamond" w:cs="Garamond" w:eastAsia="Garamond" w:hAnsi="Garamond"/>
          <w:b/>
          <w:bCs/>
          <w:i w:val="false"/>
          <w:iCs w:val="false"/>
          <w:color w:val="C62828"/>
          <w:sz w:val="24"/>
          <w:szCs w:val="24"/>
        </w:rPr>
        <w:t xml:space="preserve">DO IT YOURSELF:</w:t>
      </w:r>
    </w:p>
    <w:p>
      <w:pPr>
        <w:spacing w:after="30"/>
      </w:pPr>
      <w:r>
        <w:rPr>
          <w:rFonts w:ascii="Garamond" w:cs="Garamond" w:eastAsia="Garamond" w:hAnsi="Garamond"/>
          <w:b w:val="false"/>
          <w:bCs w:val="false"/>
          <w:i w:val="false"/>
          <w:iCs w:val="false"/>
          <w:color w:val="1A1A2E"/>
          <w:sz w:val="24"/>
          <w:szCs w:val="24"/>
        </w:rPr>
        <w:t xml:space="preserve">Real estate coach or course: $5,000 to $10,000</w:t>
      </w:r>
    </w:p>
    <w:p>
      <w:pPr>
        <w:spacing w:after="30"/>
      </w:pPr>
      <w:r>
        <w:rPr>
          <w:rFonts w:ascii="Garamond" w:cs="Garamond" w:eastAsia="Garamond" w:hAnsi="Garamond"/>
          <w:b w:val="false"/>
          <w:bCs w:val="false"/>
          <w:i w:val="false"/>
          <w:iCs w:val="false"/>
          <w:color w:val="1A1A2E"/>
          <w:sz w:val="24"/>
          <w:szCs w:val="24"/>
        </w:rPr>
        <w:t xml:space="preserve">CPA with real estate specialization: $1,500 to $2,500 per year</w:t>
      </w:r>
    </w:p>
    <w:p>
      <w:pPr>
        <w:spacing w:after="30"/>
      </w:pPr>
      <w:r>
        <w:rPr>
          <w:rFonts w:ascii="Garamond" w:cs="Garamond" w:eastAsia="Garamond" w:hAnsi="Garamond"/>
          <w:b w:val="false"/>
          <w:bCs w:val="false"/>
          <w:i w:val="false"/>
          <w:iCs w:val="false"/>
          <w:color w:val="1A1A2E"/>
          <w:sz w:val="24"/>
          <w:szCs w:val="24"/>
        </w:rPr>
        <w:t xml:space="preserve">Cost segregation study (retail): $3,500 to $5,000</w:t>
      </w:r>
    </w:p>
    <w:p>
      <w:pPr>
        <w:spacing w:after="30"/>
      </w:pPr>
      <w:r>
        <w:rPr>
          <w:rFonts w:ascii="Garamond" w:cs="Garamond" w:eastAsia="Garamond" w:hAnsi="Garamond"/>
          <w:b w:val="false"/>
          <w:bCs w:val="false"/>
          <w:i w:val="false"/>
          <w:iCs w:val="false"/>
          <w:color w:val="1A1A2E"/>
          <w:sz w:val="24"/>
          <w:szCs w:val="24"/>
        </w:rPr>
        <w:t xml:space="preserve">LLC formation and legal: $500 to $1,500</w:t>
      </w:r>
    </w:p>
    <w:p>
      <w:pPr>
        <w:spacing w:after="30"/>
      </w:pPr>
      <w:r>
        <w:rPr>
          <w:rFonts w:ascii="Garamond" w:cs="Garamond" w:eastAsia="Garamond" w:hAnsi="Garamond"/>
          <w:b w:val="false"/>
          <w:bCs w:val="false"/>
          <w:i w:val="false"/>
          <w:iCs w:val="false"/>
          <w:color w:val="1A1A2E"/>
          <w:sz w:val="24"/>
          <w:szCs w:val="24"/>
        </w:rPr>
        <w:t xml:space="preserve">HELOC shopping (your time): 10 to 20 hours</w:t>
      </w:r>
    </w:p>
    <w:p>
      <w:pPr>
        <w:spacing w:after="30"/>
      </w:pPr>
      <w:r>
        <w:rPr>
          <w:rFonts w:ascii="Garamond" w:cs="Garamond" w:eastAsia="Garamond" w:hAnsi="Garamond"/>
          <w:b w:val="false"/>
          <w:bCs w:val="false"/>
          <w:i w:val="false"/>
          <w:iCs w:val="false"/>
          <w:color w:val="1A1A2E"/>
          <w:sz w:val="24"/>
          <w:szCs w:val="24"/>
        </w:rPr>
        <w:t xml:space="preserve">DSCR lender shopping (your time): 10 to 20 hours</w:t>
      </w:r>
    </w:p>
    <w:p>
      <w:pPr>
        <w:spacing w:after="30"/>
      </w:pPr>
      <w:r>
        <w:rPr>
          <w:rFonts w:ascii="Garamond" w:cs="Garamond" w:eastAsia="Garamond" w:hAnsi="Garamond"/>
          <w:b w:val="false"/>
          <w:bCs w:val="false"/>
          <w:i w:val="false"/>
          <w:iCs w:val="false"/>
          <w:color w:val="1A1A2E"/>
          <w:sz w:val="24"/>
          <w:szCs w:val="24"/>
        </w:rPr>
        <w:t xml:space="preserve">Closing coordination (your stress): incalculable</w:t>
      </w:r>
    </w:p>
    <w:p>
      <w:pPr>
        <w:spacing w:after="30"/>
      </w:pPr>
      <w:r>
        <w:rPr>
          <w:rFonts w:ascii="Garamond" w:cs="Garamond" w:eastAsia="Garamond" w:hAnsi="Garamond"/>
          <w:b w:val="false"/>
          <w:bCs w:val="false"/>
          <w:i w:val="false"/>
          <w:iCs w:val="false"/>
          <w:color w:val="1A1A2E"/>
          <w:sz w:val="24"/>
          <w:szCs w:val="24"/>
        </w:rPr>
        <w:t xml:space="preserve">W-4 optimization: most CPAs don’t offer this</w:t>
      </w:r>
    </w:p>
    <w:p>
      <w:pPr>
        <w:spacing w:after="30"/>
      </w:pPr>
      <w:r>
        <w:rPr>
          <w:rFonts w:ascii="Garamond" w:cs="Garamond" w:eastAsia="Garamond" w:hAnsi="Garamond"/>
          <w:b/>
          <w:bCs/>
          <w:i w:val="false"/>
          <w:iCs w:val="false"/>
          <w:color w:val="1A1A2E"/>
          <w:sz w:val="24"/>
          <w:szCs w:val="24"/>
        </w:rPr>
        <w:t xml:space="preserve">DIY Total: $15,000 to $29,500 plus 100 to 200 hours of your time</w:t>
      </w:r>
    </w:p>
    <w:p>
      <w:pPr>
        <w:spacing w:after="100"/>
      </w:pPr>
      <w:r>
        <w:rPr>
          <w:rFonts w:ascii="Garamond" w:cs="Garamond" w:eastAsia="Garamond" w:hAnsi="Garamond"/>
          <w:b w:val="false"/>
          <w:bCs w:val="false"/>
          <w:i w:val="false"/>
          <w:iCs w:val="false"/>
          <w:color w:val="1A1A2E"/>
          <w:sz w:val="24"/>
          <w:szCs w:val="24"/>
        </w:rPr>
        <w:t xml:space="preserve">And none of these providers talk to each other. You are the project manager of your own wealth strategy and you have never done it before.</w:t>
      </w:r>
    </w:p>
    <w:p>
      <w:pPr>
        <w:spacing w:after="40"/>
      </w:pPr>
      <w:r>
        <w:rPr>
          <w:rFonts w:ascii="Garamond" w:cs="Garamond" w:eastAsia="Garamond" w:hAnsi="Garamond"/>
          <w:b/>
          <w:bCs/>
          <w:i w:val="false"/>
          <w:iCs w:val="false"/>
          <w:color w:val="2E7D32"/>
          <w:sz w:val="24"/>
          <w:szCs w:val="24"/>
        </w:rPr>
        <w:t xml:space="preserve">THE WEALTH ENGINE:</w:t>
      </w:r>
    </w:p>
    <w:p>
      <w:pPr>
        <w:spacing w:after="30"/>
      </w:pPr>
      <w:r>
        <w:rPr>
          <w:rFonts w:ascii="Garamond" w:cs="Garamond" w:eastAsia="Garamond" w:hAnsi="Garamond"/>
          <w:b w:val="false"/>
          <w:bCs w:val="false"/>
          <w:i w:val="false"/>
          <w:iCs w:val="false"/>
          <w:color w:val="1A1A2E"/>
          <w:sz w:val="24"/>
          <w:szCs w:val="24"/>
        </w:rPr>
        <w:t xml:space="preserve">Wealth Engine Course (self-paced): $2,997</w:t>
      </w:r>
    </w:p>
    <w:p>
      <w:pPr>
        <w:spacing w:after="30"/>
      </w:pPr>
      <w:r>
        <w:rPr>
          <w:rFonts w:ascii="Garamond" w:cs="Garamond" w:eastAsia="Garamond" w:hAnsi="Garamond"/>
          <w:b w:val="false"/>
          <w:bCs w:val="false"/>
          <w:i w:val="false"/>
          <w:iCs w:val="false"/>
          <w:color w:val="1A1A2E"/>
          <w:sz w:val="24"/>
          <w:szCs w:val="24"/>
        </w:rPr>
        <w:t xml:space="preserve">Wealth Engine Core (live coaching + preferred lending): $4,997</w:t>
      </w:r>
    </w:p>
    <w:p>
      <w:pPr>
        <w:spacing w:after="30"/>
      </w:pPr>
      <w:r>
        <w:rPr>
          <w:rFonts w:ascii="Garamond" w:cs="Garamond" w:eastAsia="Garamond" w:hAnsi="Garamond"/>
          <w:b w:val="false"/>
          <w:bCs w:val="false"/>
          <w:i w:val="false"/>
          <w:iCs w:val="false"/>
          <w:color w:val="1A1A2E"/>
          <w:sz w:val="24"/>
          <w:szCs w:val="24"/>
        </w:rPr>
        <w:t xml:space="preserve">Tax Shield add-on (CPA + LLC + W-4): $1,497</w:t>
      </w:r>
    </w:p>
    <w:p>
      <w:pPr>
        <w:spacing w:after="30"/>
      </w:pPr>
      <w:r>
        <w:rPr>
          <w:rFonts w:ascii="Garamond" w:cs="Garamond" w:eastAsia="Garamond" w:hAnsi="Garamond"/>
          <w:b w:val="false"/>
          <w:bCs w:val="false"/>
          <w:i w:val="false"/>
          <w:iCs w:val="false"/>
          <w:color w:val="1A1A2E"/>
          <w:sz w:val="24"/>
          <w:szCs w:val="24"/>
        </w:rPr>
        <w:t xml:space="preserve">Accelerator add-on (Tax Shield + cost segregation): $4,497</w:t>
      </w:r>
    </w:p>
    <w:p>
      <w:pPr>
        <w:spacing w:after="30"/>
      </w:pPr>
      <w:r>
        <w:rPr>
          <w:rFonts w:ascii="Garamond" w:cs="Garamond" w:eastAsia="Garamond" w:hAnsi="Garamond"/>
          <w:b w:val="false"/>
          <w:bCs w:val="false"/>
          <w:i w:val="false"/>
          <w:iCs w:val="false"/>
          <w:color w:val="1A1A2E"/>
          <w:sz w:val="24"/>
          <w:szCs w:val="24"/>
        </w:rPr>
        <w:t xml:space="preserve">$1,600+ in closing cost savings included for Core clients</w:t>
      </w:r>
    </w:p>
    <w:p>
      <w:pPr>
        <w:spacing w:after="30"/>
      </w:pPr>
      <w:r>
        <w:rPr>
          <w:rFonts w:ascii="Garamond" w:cs="Garamond" w:eastAsia="Garamond" w:hAnsi="Garamond"/>
          <w:b/>
          <w:bCs/>
          <w:i w:val="false"/>
          <w:iCs w:val="false"/>
          <w:color w:val="1A1A2E"/>
          <w:sz w:val="24"/>
          <w:szCs w:val="24"/>
        </w:rPr>
        <w:t xml:space="preserve">One team. One lender. One tax strategy. Everything coordinated.</w:t>
      </w:r>
    </w:p>
    <w:p>
      <w:pPr>
        <w:spacing w:after="100"/>
      </w:pPr>
      <w:r>
        <w:rPr>
          <w:rFonts w:ascii="Garamond" w:cs="Garamond" w:eastAsia="Garamond" w:hAnsi="Garamond"/>
          <w:b/>
          <w:bCs/>
          <w:i w:val="false"/>
          <w:iCs w:val="false"/>
          <w:color w:val="C49A3C"/>
          <w:sz w:val="24"/>
          <w:szCs w:val="24"/>
        </w:rPr>
        <w:t xml:space="preserve">Founding Pride (first 10 Miami families): Core at $4,997 + complimentary Inner Tribe Year 1 ($15,000 value) + locked renewal pricing for life.</w:t>
      </w:r>
    </w:p>
    <w:p>
      <w:pPr>
        <w:spacing w:after="120"/>
        <w:ind w:firstLine="480"/>
      </w:pPr>
      <w:r>
        <w:rPr>
          <w:rFonts w:ascii="Garamond" w:cs="Garamond" w:eastAsia="Garamond" w:hAnsi="Garamond"/>
          <w:b w:val="false"/>
          <w:bCs w:val="false"/>
          <w:i w:val="false"/>
          <w:iCs w:val="false"/>
          <w:color w:val="1A1A2E"/>
          <w:sz w:val="24"/>
          <w:szCs w:val="24"/>
        </w:rPr>
        <w:t xml:space="preserve">The Wealth Engine costs less than one month of the taxes most families are overpaying. The alternative is years of continued overpayment. The math speaks for itself.</w:t>
      </w:r>
    </w:p>
    <w:p>
      <w:r>
        <w:br w:type="page"/>
      </w:r>
    </w:p>
    <w:p>
      <w:pPr>
        <w:spacing w:before="600" w:after="10"/>
        <w:jc w:val="center"/>
      </w:pPr>
      <w:r>
        <w:rPr>
          <w:rFonts w:ascii="Garamond" w:cs="Garamond" w:eastAsia="Garamond" w:hAnsi="Garamond"/>
          <w:i/>
          <w:iCs/>
          <w:color w:val="6B7280"/>
          <w:sz w:val="18"/>
          <w:szCs w:val="18"/>
        </w:rPr>
        <w:t xml:space="preserve">Chapter </w:t>
      </w:r>
    </w:p>
    <w:p>
      <w:pPr>
        <w:spacing w:after="40"/>
        <w:jc w:val="center"/>
      </w:pPr>
      <w:r>
        <w:rPr>
          <w:rFonts w:ascii="Garamond" w:cs="Garamond" w:eastAsia="Garamond" w:hAnsi="Garamond"/>
          <w:b/>
          <w:bCs/>
          <w:color w:val="1A1A2E"/>
          <w:sz w:val="30"/>
          <w:szCs w:val="30"/>
        </w:rPr>
        <w:t xml:space="preserve">Don’t Need the Book? Let’s Just Talk.</w:t>
      </w:r>
    </w:p>
    <w:p>
      <w:pPr>
        <w:pBdr>
          <w:bottom w:val="single" w:color="C49A3C" w:sz="2" w:space="8"/>
        </w:pBdr>
        <w:spacing w:after="200"/>
        <w:jc w:val="center"/>
      </w:pPr>
    </w:p>
    <w:p>
      <w:pPr>
        <w:spacing w:after="120"/>
      </w:pPr>
      <w:r>
        <w:rPr>
          <w:rFonts w:ascii="Garamond" w:cs="Garamond" w:eastAsia="Garamond" w:hAnsi="Garamond"/>
          <w:b w:val="false"/>
          <w:bCs w:val="false"/>
          <w:i w:val="false"/>
          <w:iCs w:val="false"/>
          <w:color w:val="1A1A2E"/>
          <w:sz w:val="24"/>
          <w:szCs w:val="24"/>
        </w:rPr>
        <w:t xml:space="preserve">If you’ve read this far and you already know you want to see your numbers, skip everything else.</w:t>
      </w:r>
    </w:p>
    <w:p>
      <w:pPr>
        <w:spacing w:after="120"/>
        <w:ind w:firstLine="480"/>
      </w:pPr>
      <w:r>
        <w:rPr>
          <w:rFonts w:ascii="Garamond" w:cs="Garamond" w:eastAsia="Garamond" w:hAnsi="Garamond"/>
          <w:b w:val="false"/>
          <w:bCs w:val="false"/>
          <w:i w:val="false"/>
          <w:iCs w:val="false"/>
          <w:color w:val="1A1A2E"/>
          <w:sz w:val="24"/>
          <w:szCs w:val="24"/>
        </w:rPr>
        <w:t xml:space="preserve">Book a free strategy call with me. Forty-five minutes. I will calculate your accessible equity, identify what kind of investment property fits your budget, run the DSCR numbers, project your tax savings, and show you exactly what is possible for your family. No cost. No obligation. No pitch. Just clarity.</w:t>
      </w:r>
    </w:p>
    <w:p>
      <w:pPr>
        <w:spacing w:after="120"/>
        <w:ind w:firstLine="480"/>
      </w:pPr>
      <w:r>
        <w:rPr>
          <w:rFonts w:ascii="Garamond" w:cs="Garamond" w:eastAsia="Garamond" w:hAnsi="Garamond"/>
          <w:b w:val="false"/>
          <w:bCs w:val="false"/>
          <w:i w:val="false"/>
          <w:iCs w:val="false"/>
          <w:color w:val="1A1A2E"/>
          <w:sz w:val="24"/>
          <w:szCs w:val="24"/>
        </w:rPr>
        <w:t xml:space="preserve">If the numbers work, I will present three options. If they don’t, I will tell you why and what needs to change.</w:t>
      </w:r>
    </w:p>
    <w:p>
      <w:pPr>
        <w:spacing w:after="120"/>
        <w:ind w:firstLine="480"/>
      </w:pPr>
      <w:r>
        <w:rPr>
          <w:rFonts w:ascii="Garamond" w:cs="Garamond" w:eastAsia="Garamond" w:hAnsi="Garamond"/>
          <w:b/>
          <w:bCs/>
          <w:i w:val="false"/>
          <w:iCs w:val="false"/>
          <w:color w:val="C49A3C"/>
          <w:sz w:val="24"/>
          <w:szCs w:val="24"/>
        </w:rPr>
        <w:t xml:space="preserve">Book at: calendly.com/yemani-mason/wealth-engine-strategy</w:t>
      </w:r>
    </w:p>
    <w:p>
      <w:pPr>
        <w:spacing w:after="120"/>
        <w:ind w:firstLine="480"/>
      </w:pPr>
      <w:r>
        <w:rPr>
          <w:rFonts w:ascii="Garamond" w:cs="Garamond" w:eastAsia="Garamond" w:hAnsi="Garamond"/>
          <w:b/>
          <w:bCs/>
          <w:i w:val="false"/>
          <w:iCs w:val="false"/>
          <w:color w:val="C49A3C"/>
          <w:sz w:val="24"/>
          <w:szCs w:val="24"/>
        </w:rPr>
        <w:t xml:space="preserve">Or DM me the word LEGACY on Instagram: @yemanimason</w:t>
      </w:r>
    </w:p>
    <w:p>
      <w:pPr>
        <w:spacing w:after="120"/>
        <w:ind w:firstLine="480"/>
      </w:pPr>
      <w:r>
        <w:rPr>
          <w:rFonts w:ascii="Garamond" w:cs="Garamond" w:eastAsia="Garamond" w:hAnsi="Garamond"/>
          <w:b w:val="false"/>
          <w:bCs w:val="false"/>
          <w:i w:val="false"/>
          <w:iCs w:val="false"/>
          <w:color w:val="1A1A2E"/>
          <w:sz w:val="24"/>
          <w:szCs w:val="24"/>
        </w:rPr>
        <w:t xml:space="preserve">If you’re a licensed mortgage broker reading this and thinking you want to offer the Wealth Engine to your own clients, DM me the word PARTNER. I’m building a lending platform for mortgage professionals who want to add coaching to their business. The Tribe is forming.</w:t>
      </w:r>
    </w:p>
    <w:p>
      <w:pPr>
        <w:spacing w:before="120" w:after="120"/>
        <w:jc w:val="center"/>
      </w:pPr>
      <w:r>
        <w:rPr>
          <w:rFonts w:ascii="Garamond" w:cs="Garamond" w:eastAsia="Garamond" w:hAnsi="Garamond"/>
          <w:color w:val="C49A3C"/>
          <w:sz w:val="14"/>
          <w:szCs w:val="14"/>
        </w:rPr>
        <w:t xml:space="preserve">◆   ◆   ◆</w:t>
      </w:r>
    </w:p>
    <w:p>
      <w:pPr>
        <w:spacing w:after="120"/>
      </w:pPr>
      <w:r>
        <w:rPr>
          <w:rFonts w:ascii="Garamond" w:cs="Garamond" w:eastAsia="Garamond" w:hAnsi="Garamond"/>
          <w:b w:val="false"/>
          <w:bCs w:val="false"/>
          <w:i w:val="false"/>
          <w:iCs w:val="false"/>
          <w:color w:val="1A1A2E"/>
          <w:sz w:val="24"/>
          <w:szCs w:val="24"/>
        </w:rPr>
        <w:t xml:space="preserve">The first half of the blueprint said: own a home.</w:t>
      </w:r>
    </w:p>
    <w:p>
      <w:pPr>
        <w:spacing w:after="120"/>
        <w:ind w:firstLine="480"/>
      </w:pPr>
      <w:r>
        <w:rPr>
          <w:rFonts w:ascii="Garamond" w:cs="Garamond" w:eastAsia="Garamond" w:hAnsi="Garamond"/>
          <w:b w:val="false"/>
          <w:bCs w:val="false"/>
          <w:i w:val="false"/>
          <w:iCs w:val="false"/>
          <w:color w:val="1A1A2E"/>
          <w:sz w:val="24"/>
          <w:szCs w:val="24"/>
        </w:rPr>
        <w:t xml:space="preserve">The second half says: own everything. Owe nothing.</w:t>
      </w:r>
    </w:p>
    <w:p>
      <w:pPr>
        <w:spacing w:after="120"/>
        <w:ind w:firstLine="480"/>
      </w:pPr>
      <w:r>
        <w:rPr>
          <w:rFonts w:ascii="Garamond" w:cs="Garamond" w:eastAsia="Garamond" w:hAnsi="Garamond"/>
          <w:b/>
          <w:bCs/>
          <w:i w:val="false"/>
          <w:iCs w:val="false"/>
          <w:color w:val="C49A3C"/>
          <w:sz w:val="24"/>
          <w:szCs w:val="24"/>
        </w:rPr>
        <w:t xml:space="preserve">Welcome to the Wealth Engine.</w:t>
      </w:r>
    </w:p>
    <w:p>
      <w:pPr>
        <w:spacing w:before="200"/>
      </w:pPr>
    </w:p>
    <w:p>
      <w:pPr>
        <w:spacing w:before="0" w:after="10"/>
        <w:jc w:val="center"/>
      </w:pPr>
      <w:r>
        <w:rPr>
          <w:rFonts w:ascii="Garamond" w:cs="Garamond" w:eastAsia="Garamond" w:hAnsi="Garamond"/>
          <w:b/>
          <w:bCs/>
          <w:i w:val="false"/>
          <w:iCs w:val="false"/>
          <w:color w:val="1A1A2E"/>
          <w:sz w:val="22"/>
          <w:szCs w:val="22"/>
        </w:rPr>
        <w:t xml:space="preserve">Yemani Mason</w:t>
      </w:r>
    </w:p>
    <w:p>
      <w:pPr>
        <w:spacing w:before="0" w:after="10"/>
        <w:jc w:val="center"/>
      </w:pPr>
      <w:r>
        <w:rPr>
          <w:rFonts w:ascii="Garamond" w:cs="Garamond" w:eastAsia="Garamond" w:hAnsi="Garamond"/>
          <w:b w:val="false"/>
          <w:bCs w:val="false"/>
          <w:i w:val="false"/>
          <w:iCs w:val="false"/>
          <w:color w:val="6B7280"/>
          <w:sz w:val="18"/>
          <w:szCs w:val="18"/>
        </w:rPr>
        <w:t xml:space="preserve">CEO &amp; Lender, Secure The Funding</w:t>
      </w:r>
    </w:p>
    <w:p>
      <w:pPr>
        <w:spacing w:before="0" w:after="10"/>
        <w:jc w:val="center"/>
      </w:pPr>
      <w:r>
        <w:rPr>
          <w:rFonts w:ascii="Garamond" w:cs="Garamond" w:eastAsia="Garamond" w:hAnsi="Garamond"/>
          <w:b w:val="false"/>
          <w:bCs w:val="false"/>
          <w:i w:val="false"/>
          <w:iCs w:val="false"/>
          <w:color w:val="6B7280"/>
          <w:sz w:val="16"/>
          <w:szCs w:val="16"/>
        </w:rPr>
        <w:t xml:space="preserve">NMLS# 1467499 | Company NMLS# 2085021</w:t>
      </w:r>
    </w:p>
    <w:p>
      <w:pPr>
        <w:spacing w:before="0" w:after="10"/>
        <w:jc w:val="center"/>
      </w:pPr>
      <w:r>
        <w:rPr>
          <w:rFonts w:ascii="Garamond" w:cs="Garamond" w:eastAsia="Garamond" w:hAnsi="Garamond"/>
          <w:b w:val="false"/>
          <w:bCs w:val="false"/>
          <w:i w:val="false"/>
          <w:iCs w:val="false"/>
          <w:color w:val="6B7280"/>
          <w:sz w:val="16"/>
          <w:szCs w:val="16"/>
        </w:rPr>
        <w:t xml:space="preserve">Miami, Florida</w:t>
      </w:r>
    </w:p>
    <w:p>
      <w:pPr>
        <w:spacing w:before="0" w:after="0"/>
        <w:jc w:val="center"/>
      </w:pPr>
      <w:r>
        <w:rPr>
          <w:rFonts w:ascii="Garamond" w:cs="Garamond" w:eastAsia="Garamond" w:hAnsi="Garamond"/>
          <w:b w:val="false"/>
          <w:bCs w:val="false"/>
          <w:i w:val="false"/>
          <w:iCs w:val="false"/>
          <w:color w:val="6B7280"/>
          <w:sz w:val="16"/>
          <w:szCs w:val="16"/>
        </w:rPr>
        <w:t xml:space="preserve">(305) 433-7194</w:t>
      </w:r>
    </w:p>
    <w:sectPr>
      <w:pgSz w:w="12240" w:h="15840"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2026-03-17T13:26:37.267Z</dcterms:created>
  <dcterms:modified xsi:type="dcterms:W3CDTF">2026-03-17T13:26:37.267Z</dcterms:modified>
</cp:coreProperties>
</file>

<file path=docProps/custom.xml><?xml version="1.0" encoding="utf-8"?>
<Properties xmlns="http://schemas.openxmlformats.org/officeDocument/2006/custom-properties" xmlns:vt="http://schemas.openxmlformats.org/officeDocument/2006/docPropsVTypes"/>
</file>